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 xml:space="preserve">互联网金融 </w:t>
      </w:r>
    </w:p>
    <w:p>
      <w:pPr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国际化电子商务与互联网思维高级研修班</w:t>
      </w:r>
    </w:p>
    <w:p>
      <w:pPr>
        <w:jc w:val="center"/>
        <w:rPr>
          <w:sz w:val="32"/>
          <w:szCs w:val="32"/>
        </w:rPr>
      </w:pPr>
      <w:r>
        <w:rPr>
          <w:rFonts w:hint="eastAsia" w:eastAsia="宋体"/>
          <w:b/>
          <w:color w:val="581F7D"/>
          <w:sz w:val="36"/>
          <w:szCs w:val="36"/>
          <w:lang w:eastAsia="zh-CN"/>
        </w:rPr>
        <w:t>开课时间：</w:t>
      </w:r>
      <w:r>
        <w:rPr>
          <w:rFonts w:hint="eastAsia" w:eastAsia="宋体"/>
          <w:b/>
          <w:color w:val="581F7D"/>
          <w:sz w:val="36"/>
          <w:szCs w:val="36"/>
          <w:lang w:val="en-US" w:eastAsia="zh-CN"/>
        </w:rPr>
        <w:t>2017年</w:t>
      </w:r>
      <w:r>
        <w:rPr>
          <w:rFonts w:hint="eastAsia"/>
          <w:b/>
          <w:color w:val="581F7D"/>
          <w:sz w:val="36"/>
          <w:szCs w:val="36"/>
          <w:lang w:val="en-US" w:eastAsia="zh-CN"/>
        </w:rPr>
        <w:t>6</w:t>
      </w:r>
      <w:r>
        <w:rPr>
          <w:rFonts w:hint="eastAsia" w:eastAsia="宋体"/>
          <w:b/>
          <w:color w:val="581F7D"/>
          <w:sz w:val="36"/>
          <w:szCs w:val="36"/>
          <w:lang w:val="en-US" w:eastAsia="zh-CN"/>
        </w:rPr>
        <w:t>月</w:t>
      </w:r>
      <w:r>
        <w:rPr>
          <w:rFonts w:hint="eastAsia"/>
          <w:b/>
          <w:color w:val="581F7D"/>
          <w:sz w:val="36"/>
          <w:szCs w:val="36"/>
          <w:lang w:val="en-US" w:eastAsia="zh-CN"/>
        </w:rPr>
        <w:t>23</w:t>
      </w:r>
      <w:r>
        <w:rPr>
          <w:rFonts w:hint="eastAsia" w:eastAsia="宋体"/>
          <w:b/>
          <w:color w:val="581F7D"/>
          <w:sz w:val="36"/>
          <w:szCs w:val="36"/>
          <w:lang w:val="en-US" w:eastAsia="zh-CN"/>
        </w:rPr>
        <w:t>-2</w:t>
      </w:r>
      <w:r>
        <w:rPr>
          <w:rFonts w:hint="eastAsia"/>
          <w:b/>
          <w:color w:val="581F7D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eastAsia="宋体"/>
          <w:b/>
          <w:color w:val="581F7D"/>
          <w:sz w:val="36"/>
          <w:szCs w:val="36"/>
          <w:lang w:val="en-US" w:eastAsia="zh-CN"/>
        </w:rPr>
        <w:t>日</w:t>
      </w:r>
    </w:p>
    <w:p>
      <w:pPr>
        <w:pStyle w:val="3"/>
        <w:widowControl/>
        <w:spacing w:before="0" w:beforeAutospacing="0" w:after="0" w:afterAutospacing="0"/>
        <w:rPr>
          <w:sz w:val="21"/>
        </w:rPr>
      </w:pPr>
      <w:r>
        <w:rPr>
          <w:rFonts w:hint="eastAsia"/>
          <w:sz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231775</wp:posOffset>
            </wp:positionV>
            <wp:extent cx="5486400" cy="2257425"/>
            <wp:effectExtent l="19050" t="19050" r="19050" b="28575"/>
            <wp:wrapSquare wrapText="bothSides"/>
            <wp:docPr id="1" name="图片 61" descr="48958PIC4K5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1" descr="48958PIC4K5_10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742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 cmpd="sng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3"/>
        <w:widowControl/>
        <w:spacing w:before="0" w:beforeAutospacing="0" w:after="0" w:afterAutospacing="0"/>
        <w:rPr>
          <w:sz w:val="21"/>
        </w:rPr>
      </w:pPr>
    </w:p>
    <w:p>
      <w:pPr>
        <w:pStyle w:val="3"/>
        <w:widowControl/>
        <w:spacing w:before="0" w:beforeAutospacing="0" w:after="0" w:afterAutospacing="0"/>
        <w:rPr>
          <w:sz w:val="21"/>
        </w:rPr>
      </w:pPr>
    </w:p>
    <w:p>
      <w:pPr>
        <w:pStyle w:val="3"/>
        <w:widowControl/>
        <w:spacing w:before="0" w:beforeAutospacing="0" w:after="0" w:afterAutospacing="0"/>
        <w:rPr>
          <w:sz w:val="21"/>
        </w:rPr>
      </w:pPr>
    </w:p>
    <w:p>
      <w:pPr>
        <w:pStyle w:val="3"/>
        <w:widowControl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课程背景</w:t>
      </w:r>
      <w:r>
        <w:rPr>
          <w:rFonts w:hint="eastAsia"/>
          <w:b/>
          <w:color w:val="FF0000"/>
          <w:sz w:val="28"/>
          <w:szCs w:val="28"/>
        </w:rPr>
        <w:t>】</w:t>
      </w:r>
    </w:p>
    <w:p>
      <w:pPr>
        <w:pStyle w:val="3"/>
        <w:widowControl/>
        <w:spacing w:before="0" w:beforeAutospacing="0" w:after="0" w:afterAutospacing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113665</wp:posOffset>
                </wp:positionV>
                <wp:extent cx="5633720" cy="3314065"/>
                <wp:effectExtent l="6350" t="6350" r="17780" b="13335"/>
                <wp:wrapNone/>
                <wp:docPr id="2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720" cy="33140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ED7D3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4" o:spid="_x0000_s1026" o:spt="176" type="#_x0000_t176" style="position:absolute;left:0pt;margin-left:-19.55pt;margin-top:8.95pt;height:260.95pt;width:443.6pt;z-index:-251658240;v-text-anchor:middle;mso-width-relative:page;mso-height-relative:page;" fillcolor="#FFFFFF" filled="t" stroked="t" coordsize="21600,21600" o:gfxdata="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Sf6i2QAAAAoBAAAPAAAA&#10;AAAAAAEAIAAAACIAAABkcnMvZG93bnJldi54bWxQSwECFAAUAAAACACHTuJAQoJ3BRQCAAAFBAAA&#10;DgAAAAAAAAABACAAAAAoAQAAZHJzL2Uyb0RvYy54bWxQSwUGAAAAAAYABgBZAQAArgUAAAAA&#10;">
                <v:fill on="t" focussize="0,0"/>
                <v:stroke weight="1pt" color="#ED7D31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widowControl/>
        <w:spacing w:before="0" w:beforeAutospacing="0" w:after="0" w:afterAutospacing="0"/>
        <w:rPr>
          <w:sz w:val="21"/>
        </w:rPr>
      </w:pPr>
    </w:p>
    <w:p>
      <w:pPr>
        <w:pStyle w:val="3"/>
        <w:widowControl/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当创新与变革成为一个时代的习惯，认知边界与全球化金融视野的拓展，是企业家抓住国家经济发展战略机遇，享受资本市场高速发展的红利，利用产融结合提供企业增长动力的重要前提。</w:t>
      </w:r>
    </w:p>
    <w:p>
      <w:pPr>
        <w:pStyle w:val="3"/>
        <w:widowControl/>
        <w:tabs>
          <w:tab w:val="left" w:pos="6120"/>
        </w:tabs>
        <w:spacing w:before="0" w:beforeAutospacing="0" w:after="0" w:afterAutospacing="0"/>
        <w:rPr>
          <w:sz w:val="21"/>
          <w:szCs w:val="21"/>
        </w:rPr>
      </w:pPr>
    </w:p>
    <w:p>
      <w:pPr>
        <w:pStyle w:val="3"/>
        <w:widowControl/>
        <w:tabs>
          <w:tab w:val="left" w:pos="6120"/>
        </w:tabs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随着多层次资本市场建设快速发展，投融资渠道进一步拓宽，金融财富得以爆炸式增长，企业家应当树立一种怎样的金融价值观，才能在这百年难遇的金融大时代立于不败之地？</w:t>
      </w:r>
    </w:p>
    <w:p>
      <w:pPr>
        <w:pStyle w:val="3"/>
        <w:widowControl/>
        <w:tabs>
          <w:tab w:val="left" w:pos="6120"/>
        </w:tabs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</w:p>
    <w:p>
      <w:pPr>
        <w:pStyle w:val="3"/>
        <w:widowControl/>
        <w:tabs>
          <w:tab w:val="left" w:pos="6120"/>
        </w:tabs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在互联网+的大背景下，</w:t>
      </w:r>
      <w:r>
        <w:rPr>
          <w:sz w:val="21"/>
          <w:szCs w:val="21"/>
        </w:rPr>
        <w:t>企业</w:t>
      </w:r>
      <w:r>
        <w:rPr>
          <w:rFonts w:hint="eastAsia"/>
          <w:sz w:val="21"/>
          <w:szCs w:val="21"/>
        </w:rPr>
        <w:t>如何</w:t>
      </w:r>
      <w:r>
        <w:rPr>
          <w:sz w:val="21"/>
          <w:szCs w:val="21"/>
        </w:rPr>
        <w:t>运用互联网思维</w:t>
      </w:r>
      <w:r>
        <w:rPr>
          <w:rFonts w:hint="eastAsia"/>
          <w:sz w:val="21"/>
          <w:szCs w:val="21"/>
        </w:rPr>
        <w:t>实现</w:t>
      </w:r>
      <w:r>
        <w:rPr>
          <w:sz w:val="21"/>
          <w:szCs w:val="21"/>
        </w:rPr>
        <w:t>跨界创新</w:t>
      </w:r>
      <w:r>
        <w:rPr>
          <w:rFonts w:hint="eastAsia"/>
          <w:sz w:val="21"/>
          <w:szCs w:val="21"/>
        </w:rPr>
        <w:t>？</w:t>
      </w:r>
    </w:p>
    <w:p>
      <w:pPr>
        <w:pStyle w:val="3"/>
        <w:widowControl/>
        <w:tabs>
          <w:tab w:val="left" w:pos="6120"/>
        </w:tabs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</w:p>
    <w:p>
      <w:pPr>
        <w:pStyle w:val="3"/>
        <w:widowControl/>
        <w:tabs>
          <w:tab w:val="left" w:pos="6120"/>
        </w:tabs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本课程为您洞悉全球资本流动趋势与投资策略，深入了解金融创新趋势；有效构建企业金融战略转型思维，增强企业与金融机构、资本市场的对接互动能力，推动产业结构升级转型，真正实现产融结合</w:t>
      </w:r>
      <w:r>
        <w:rPr>
          <w:rFonts w:hint="eastAsia"/>
          <w:sz w:val="21"/>
          <w:szCs w:val="21"/>
          <w:shd w:val="clear" w:color="auto" w:fill="FFFFFF"/>
        </w:rPr>
        <w:t>，</w:t>
      </w:r>
      <w:r>
        <w:rPr>
          <w:rFonts w:hint="eastAsia"/>
          <w:sz w:val="21"/>
          <w:szCs w:val="21"/>
        </w:rPr>
        <w:t>助力传统企业运用互联网思维重新架构企业，推动企业螺旋式发展。</w:t>
      </w:r>
    </w:p>
    <w:p>
      <w:pPr>
        <w:pStyle w:val="3"/>
        <w:widowControl/>
        <w:spacing w:before="0" w:beforeAutospacing="0" w:after="0" w:afterAutospacing="0"/>
        <w:rPr>
          <w:sz w:val="21"/>
          <w:szCs w:val="21"/>
        </w:rPr>
      </w:pPr>
    </w:p>
    <w:p>
      <w:pPr>
        <w:pStyle w:val="3"/>
        <w:widowControl/>
        <w:spacing w:before="0" w:beforeAutospacing="0" w:after="0" w:afterAutospacing="0"/>
      </w:pPr>
    </w:p>
    <w:p>
      <w:pPr>
        <w:pStyle w:val="3"/>
        <w:widowControl/>
        <w:spacing w:before="0" w:beforeAutospacing="0" w:after="0" w:afterAutospacing="0"/>
      </w:pPr>
    </w:p>
    <w:p>
      <w:pPr>
        <w:pStyle w:val="3"/>
        <w:widowControl/>
        <w:spacing w:before="0" w:beforeAutospacing="0" w:after="0" w:afterAutospacing="0"/>
      </w:pPr>
    </w:p>
    <w:p>
      <w:pPr>
        <w:pStyle w:val="3"/>
        <w:widowControl/>
        <w:spacing w:before="0" w:beforeAutospacing="0" w:after="0" w:afterAutospacing="0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你是否也面临这样的困惑？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不了解互联网，隔行如隔山？ 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为什么传统的经营策略再也无法凑效了？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为什么投入越来越高，利润越来越少？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为什么好技术、好产品卖不出高价格？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为什么消费者越来越不忠诚？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为什么互联网企业的成功无法看懂？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企业发展方向不清晰，如何迈上一个新台阶？</w:t>
      </w:r>
    </w:p>
    <w:p>
      <w:pPr>
        <w:pStyle w:val="3"/>
        <w:widowControl/>
        <w:numPr>
          <w:ilvl w:val="0"/>
          <w:numId w:val="0"/>
        </w:numPr>
        <w:spacing w:before="0" w:beforeAutospacing="0" w:after="0" w:afterAutospacing="0" w:line="440" w:lineRule="exact"/>
        <w:ind w:leftChars="0"/>
        <w:rPr>
          <w:color w:val="000000"/>
          <w:sz w:val="21"/>
          <w:szCs w:val="21"/>
        </w:rPr>
      </w:pPr>
    </w:p>
    <w:p>
      <w:pPr>
        <w:pStyle w:val="3"/>
        <w:widowControl/>
        <w:spacing w:before="0" w:beforeAutospacing="0" w:after="0" w:afterAutospacing="0" w:line="400" w:lineRule="exact"/>
        <w:ind w:left="420"/>
        <w:rPr>
          <w:color w:val="000000"/>
          <w:sz w:val="21"/>
          <w:szCs w:val="21"/>
        </w:rPr>
      </w:pPr>
    </w:p>
    <w:p>
      <w:pPr>
        <w:pStyle w:val="3"/>
        <w:widowControl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学习要点</w:t>
      </w:r>
      <w:r>
        <w:rPr>
          <w:rFonts w:hint="eastAsia"/>
          <w:b/>
          <w:color w:val="FF0000"/>
          <w:sz w:val="28"/>
          <w:szCs w:val="28"/>
        </w:rPr>
        <w:t>】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产业格局重构的企业情况下，建立领先的盈利模式；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优化股权配置，打造系统激励机制；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精准把握用户核心需求，整合企业线上线下资源，打开市场；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助力企业构建社群，实现社群商业变现；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深度解析大数据时代所带来的产业趋势和新的经济增长点。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深入了解金融创新趋势；有效构建企业金融战略转型思维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增强企业与金融机构、资本市场的对接互动能力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推动产业结构升级转型，真正实现产融结合</w:t>
      </w:r>
    </w:p>
    <w:p>
      <w:pPr>
        <w:pStyle w:val="3"/>
        <w:widowControl/>
        <w:spacing w:before="0" w:beforeAutospacing="0" w:after="0" w:afterAutospacing="0" w:line="440" w:lineRule="exact"/>
      </w:pPr>
    </w:p>
    <w:p>
      <w:pPr>
        <w:pStyle w:val="3"/>
        <w:widowControl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学习对象</w:t>
      </w:r>
      <w:r>
        <w:rPr>
          <w:rFonts w:hint="eastAsia"/>
          <w:b/>
          <w:color w:val="FF0000"/>
          <w:sz w:val="28"/>
          <w:szCs w:val="28"/>
        </w:rPr>
        <w:t>】</w:t>
      </w:r>
    </w:p>
    <w:p>
      <w:pPr>
        <w:rPr>
          <w:kern w:val="0"/>
          <w:sz w:val="24"/>
        </w:rPr>
      </w:pP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面临企业转型、依托互联网平台的传统企业董事长、CEO、区域经理、核心管理层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致力学习电子商务及互联网课程的企业中高层管理者及创业者</w:t>
      </w:r>
    </w:p>
    <w:p>
      <w:pPr>
        <w:rPr>
          <w:color w:val="FFFFFF"/>
        </w:rPr>
      </w:pPr>
    </w:p>
    <w:p>
      <w:pPr>
        <w:pStyle w:val="3"/>
        <w:widowControl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学习费用</w:t>
      </w:r>
      <w:r>
        <w:rPr>
          <w:rFonts w:hint="eastAsia"/>
          <w:b/>
          <w:color w:val="FF0000"/>
          <w:sz w:val="28"/>
          <w:szCs w:val="28"/>
        </w:rPr>
        <w:t>】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学习时间：每两个月学习三天，学制一年</w:t>
      </w:r>
      <w:r>
        <w:rPr>
          <w:rFonts w:hint="eastAsia"/>
          <w:color w:val="000000"/>
          <w:sz w:val="21"/>
          <w:szCs w:val="21"/>
          <w:lang w:eastAsia="zh-CN"/>
        </w:rPr>
        <w:t>半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pStyle w:val="3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学费：22800元/人（含教学、教材资料，不含学习及游学产生的食宿交通游览费用）</w:t>
      </w:r>
    </w:p>
    <w:p>
      <w:pPr>
        <w:spacing w:line="440" w:lineRule="exact"/>
      </w:pPr>
    </w:p>
    <w:p/>
    <w:p>
      <w:pPr>
        <w:ind w:firstLine="405"/>
        <w:rPr>
          <w:b/>
          <w:bCs/>
          <w:color w:val="FFFFFF"/>
        </w:rPr>
      </w:pPr>
    </w:p>
    <w:p>
      <w:pPr>
        <w:ind w:firstLine="405"/>
        <w:rPr>
          <w:b/>
          <w:bCs/>
          <w:color w:val="FFFFFF"/>
        </w:rPr>
      </w:pPr>
      <w:r>
        <w:rPr>
          <w:rFonts w:hint="eastAsia"/>
          <w:b/>
          <w:bCs/>
          <w:color w:val="FFFFFF"/>
        </w:rPr>
        <w:t xml:space="preserve">课程设置 </w:t>
      </w:r>
    </w:p>
    <w:p>
      <w:pPr>
        <w:pStyle w:val="3"/>
        <w:widowControl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【</w:t>
      </w:r>
      <w:r>
        <w:rPr>
          <w:rFonts w:hint="eastAsia"/>
          <w:color w:val="FF0000"/>
          <w:sz w:val="28"/>
          <w:szCs w:val="28"/>
        </w:rPr>
        <w:t>课程设置</w:t>
      </w:r>
      <w:r>
        <w:rPr>
          <w:rFonts w:hint="eastAsia"/>
          <w:b/>
          <w:color w:val="FF0000"/>
          <w:sz w:val="28"/>
          <w:szCs w:val="28"/>
        </w:rPr>
        <w:t>】</w:t>
      </w:r>
    </w:p>
    <w:p>
      <w:pPr>
        <w:rPr>
          <w:b/>
          <w:bCs/>
          <w:color w:val="FFFFFF"/>
        </w:rPr>
      </w:pPr>
    </w:p>
    <w:tbl>
      <w:tblPr>
        <w:tblStyle w:val="7"/>
        <w:tblpPr w:leftFromText="180" w:rightFromText="180" w:vertAnchor="text" w:horzAnchor="page" w:tblpX="1687" w:tblpY="313"/>
        <w:tblOverlap w:val="never"/>
        <w:tblW w:w="8749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0"/>
        <w:gridCol w:w="448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15" w:type="dxa"/>
        </w:trPr>
        <w:tc>
          <w:tcPr>
            <w:tcW w:w="868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互联网金融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·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四大模块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11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模块一：互联网金融产业环境与趋势分析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模块二：互联网金融核心商业模式与战略决策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82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解读当今政策环境下的互联网金融产业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分析互联网金融产业的发展趋势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互联网环境下的金融分析方法及投资决策</w:t>
            </w:r>
          </w:p>
          <w:p>
            <w:pPr>
              <w:widowControl/>
              <w:ind w:firstLine="75" w:firstLineChars="50"/>
              <w:jc w:val="left"/>
              <w:rPr>
                <w:rFonts w:ascii="PingFang SC" w:hAnsi="PingFang SC" w:cs="PingFang SC" w:eastAsiaTheme="minorEastAsia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PingFang SC" w:hAnsi="PingFang SC" w:cs="PingFang SC"/>
                <w:sz w:val="21"/>
                <w:szCs w:val="21"/>
              </w:rPr>
              <w:t>资本运作与投融资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解读几种关键的互联网金融商业模式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互联网金融商业模式的设计特点和核心要素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如何判断战略机会与趋势，制定合理战略决策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互联网金融对传统企业的机遇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11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模块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：互联网众筹融资模式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模块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：互联网金融征信与风险防范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536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互联网众筹模式的特点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互联网众筹平台的搭建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互联网众筹模式的回馈方式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众筹与P2P的区别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互联网+下的众筹资本之道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互联网金融征信分析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互联网金融法律法规环境与政策分析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风险防范与实施策略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15" w:type="dxa"/>
        </w:trPr>
        <w:tc>
          <w:tcPr>
            <w:tcW w:w="868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电子商务与互联网思维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·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四大模块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85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模块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五：互联网商业模式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模块六：互联网时代的管理模式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828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互联网+时代下的商业模式创新落地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商业逻辑解密与创新顶层设计</w:t>
            </w:r>
          </w:p>
          <w:p>
            <w:pPr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互联网+时代下的传统企业转型与升级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股权激励与股权设计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工业4.0视角下的企业战略落地方法</w:t>
            </w:r>
          </w:p>
          <w:p>
            <w:pPr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企业内部控制与风险管理</w:t>
            </w:r>
          </w:p>
          <w:p>
            <w:pPr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65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模块七：互联网营销模式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模块八：大数据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565" w:hRule="atLeast"/>
          <w:tblCellSpacing w:w="15" w:type="dxa"/>
        </w:trPr>
        <w:tc>
          <w:tcPr>
            <w:tcW w:w="4205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快速高效构建强势品牌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电商品牌运营之路</w:t>
            </w:r>
          </w:p>
          <w:p>
            <w:pPr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移动互联网时代的整合营销</w:t>
            </w:r>
          </w:p>
        </w:tc>
        <w:tc>
          <w:tcPr>
            <w:tcW w:w="4439" w:type="dxa"/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75" w:firstLineChars="50"/>
              <w:jc w:val="left"/>
              <w:rPr>
                <w:rFonts w:ascii="PingFang SC" w:hAnsi="PingFang SC" w:cs="PingFang SC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PingFang SC" w:hAnsi="PingFang SC" w:cs="PingFang SC"/>
                <w:sz w:val="21"/>
                <w:szCs w:val="21"/>
              </w:rPr>
              <w:t>互联网品牌大数据应用</w:t>
            </w:r>
          </w:p>
          <w:p>
            <w:pPr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大数据背后的商业机会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大数据金融环境分析</w:t>
            </w:r>
          </w:p>
          <w:p>
            <w:pPr>
              <w:widowControl/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大数据分析对互联网金融的价值</w:t>
            </w:r>
          </w:p>
          <w:p>
            <w:pPr>
              <w:ind w:firstLine="75" w:firstLineChars="5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互联网数据挖掘与产品开发</w:t>
            </w:r>
          </w:p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b/>
          <w:bCs/>
          <w:color w:val="7F7F7F"/>
          <w:sz w:val="20"/>
          <w:szCs w:val="22"/>
        </w:rPr>
      </w:pPr>
    </w:p>
    <w:p>
      <w:pPr>
        <w:jc w:val="both"/>
        <w:rPr>
          <w:rFonts w:ascii="楷体" w:hAnsi="楷体" w:eastAsia="楷体" w:cs="楷体"/>
          <w:b/>
          <w:color w:val="FF0000"/>
          <w:sz w:val="18"/>
          <w:szCs w:val="18"/>
        </w:rPr>
      </w:pPr>
    </w:p>
    <w:p>
      <w:pPr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 xml:space="preserve">互联网金融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国际化电子商务与互联网思维高级研修班</w:t>
      </w:r>
    </w:p>
    <w:tbl>
      <w:tblPr>
        <w:tblStyle w:val="7"/>
        <w:tblpPr w:leftFromText="180" w:rightFromText="180" w:vertAnchor="text" w:horzAnchor="page" w:tblpX="1390" w:tblpY="91"/>
        <w:tblOverlap w:val="never"/>
        <w:tblW w:w="98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394"/>
        <w:gridCol w:w="697"/>
        <w:gridCol w:w="240"/>
        <w:gridCol w:w="607"/>
        <w:gridCol w:w="120"/>
        <w:gridCol w:w="989"/>
        <w:gridCol w:w="407"/>
        <w:gridCol w:w="688"/>
        <w:gridCol w:w="24"/>
        <w:gridCol w:w="1112"/>
        <w:gridCol w:w="1222"/>
        <w:gridCol w:w="2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060" w:type="dxa"/>
            <w:gridSpan w:val="4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820" w:type="dxa"/>
            <w:gridSpan w:val="9"/>
            <w:tcBorders>
              <w:top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ind w:left="388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880" w:type="dxa"/>
            <w:gridSpan w:val="13"/>
            <w:tcBorders>
              <w:left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9" w:type="dxa"/>
            <w:tcBorders>
              <w:left w:val="thinThick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651" w:type="dxa"/>
            <w:tcBorders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29" w:type="dxa"/>
            <w:tcBorders>
              <w:left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3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</w:t>
            </w:r>
          </w:p>
        </w:tc>
        <w:tc>
          <w:tcPr>
            <w:tcW w:w="13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</w:t>
            </w:r>
          </w:p>
        </w:tc>
        <w:tc>
          <w:tcPr>
            <w:tcW w:w="11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51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880" w:type="dxa"/>
            <w:gridSpan w:val="13"/>
            <w:tcBorders>
              <w:top w:val="single" w:color="auto" w:sz="4" w:space="0"/>
              <w:left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报名学员名单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3" w:type="dxa"/>
            <w:gridSpan w:val="2"/>
            <w:tcBorders>
              <w:top w:val="single" w:color="auto" w:sz="4" w:space="0"/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1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微信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651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23" w:type="dxa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23" w:type="dxa"/>
            <w:gridSpan w:val="2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3" w:type="dxa"/>
            <w:gridSpan w:val="2"/>
            <w:vMerge w:val="restart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57" w:type="dxa"/>
            <w:gridSpan w:val="11"/>
            <w:tcBorders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1、收到报名表后 发放报名确认函，缴纳学费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3" w:type="dxa"/>
            <w:gridSpan w:val="2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7" w:type="dxa"/>
            <w:gridSpan w:val="11"/>
            <w:tcBorders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2、收到学费后 安排座位（</w:t>
            </w:r>
            <w:r>
              <w:rPr>
                <w:rFonts w:hint="eastAsia" w:ascii="宋体" w:hAnsi="宋体"/>
                <w:b/>
                <w:bCs/>
                <w:szCs w:val="21"/>
              </w:rPr>
              <w:t>按交费先后顺序排列）</w:t>
            </w:r>
            <w:r>
              <w:rPr>
                <w:rFonts w:hint="eastAsia" w:ascii="宋体" w:hAnsi="宋体"/>
                <w:szCs w:val="21"/>
              </w:rPr>
              <w:t>、发送上课通知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23" w:type="dxa"/>
            <w:gridSpan w:val="2"/>
            <w:vMerge w:val="continue"/>
            <w:tcBorders>
              <w:lef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7" w:type="dxa"/>
            <w:gridSpan w:val="11"/>
            <w:tcBorders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3、课程讲义将在课前签到时统一领取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880" w:type="dxa"/>
            <w:gridSpan w:val="13"/>
            <w:tcBorders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ind w:firstLine="480"/>
              <w:jc w:val="left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 xml:space="preserve">联系人：赵老师 15911037933    韩老师 13521118358         </w:t>
            </w:r>
          </w:p>
          <w:p>
            <w:pPr>
              <w:ind w:firstLine="480"/>
              <w:jc w:val="left"/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电  话：010-60531730</w:t>
            </w:r>
          </w:p>
          <w:p>
            <w:pPr>
              <w:ind w:firstLine="480"/>
              <w:jc w:val="left"/>
              <w:rPr>
                <w:rFonts w:hint="eastAsia" w:ascii="宋体" w:hAnsi="宋体" w:eastAsia="宋体" w:cs="宋体"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 w:val="24"/>
                <w:szCs w:val="24"/>
                <w:lang w:eastAsia="zh-CN"/>
              </w:rPr>
              <w:t>微信号：</w:t>
            </w:r>
            <w:r>
              <w:rPr>
                <w:rFonts w:ascii="宋体" w:hAnsi="宋体" w:cs="宋体"/>
                <w:kern w:val="1"/>
                <w:sz w:val="24"/>
                <w:szCs w:val="24"/>
              </w:rPr>
              <w:t>15911037933</w:t>
            </w:r>
            <w:r>
              <w:rPr>
                <w:rFonts w:hint="eastAsia" w:ascii="宋体" w:hAnsi="宋体" w:cs="宋体"/>
                <w:kern w:val="1"/>
                <w:sz w:val="24"/>
                <w:szCs w:val="24"/>
                <w:lang w:val="en-US" w:eastAsia="zh-CN"/>
              </w:rPr>
              <w:t xml:space="preserve">     QQ：2889303302</w:t>
            </w:r>
          </w:p>
          <w:p>
            <w:pPr>
              <w:ind w:firstLine="480"/>
              <w:jc w:val="left"/>
              <w:rPr>
                <w:rFonts w:ascii="宋体" w:hAnsi="宋体" w:eastAsia="宋体" w:cs="Arial"/>
                <w:bCs/>
                <w:sz w:val="24"/>
              </w:rPr>
            </w:pPr>
            <w:r>
              <w:rPr>
                <w:rFonts w:ascii="宋体" w:hAnsi="宋体" w:cs="宋体"/>
                <w:kern w:val="1"/>
                <w:sz w:val="24"/>
                <w:szCs w:val="24"/>
              </w:rPr>
              <w:t>邮  箱：</w:t>
            </w:r>
            <w:r>
              <w:rPr>
                <w:rFonts w:ascii="宋体" w:hAnsi="宋体" w:cs="宋体"/>
                <w:color w:val="0000FF"/>
                <w:kern w:val="1"/>
                <w:sz w:val="24"/>
                <w:szCs w:val="24"/>
                <w:u w:val="single"/>
              </w:rPr>
              <w:fldChar w:fldCharType="begin"/>
            </w:r>
            <w:r>
              <w:rPr>
                <w:rFonts w:ascii="宋体" w:hAnsi="宋体" w:cs="宋体"/>
                <w:color w:val="0000FF"/>
                <w:kern w:val="1"/>
                <w:sz w:val="24"/>
                <w:szCs w:val="24"/>
                <w:u w:val="single"/>
              </w:rPr>
              <w:instrText xml:space="preserve"> HYPERLINK "mailto:qinghuadaxueyx@163.com" </w:instrText>
            </w:r>
            <w:r>
              <w:rPr>
                <w:rFonts w:ascii="宋体" w:hAnsi="宋体" w:cs="宋体"/>
                <w:color w:val="0000FF"/>
                <w:kern w:val="1"/>
                <w:sz w:val="24"/>
                <w:szCs w:val="24"/>
                <w:u w:val="singl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1"/>
                <w:sz w:val="24"/>
                <w:szCs w:val="24"/>
                <w:u w:val="single"/>
              </w:rPr>
              <w:t>qinghuadaxueyx@163.com</w:t>
            </w:r>
            <w:r>
              <w:rPr>
                <w:rFonts w:ascii="宋体" w:hAnsi="宋体" w:cs="宋体"/>
                <w:kern w:val="1"/>
                <w:sz w:val="24"/>
                <w:szCs w:val="24"/>
              </w:rPr>
              <w:fldChar w:fldCharType="end"/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ascii="楷体" w:hAnsi="楷体" w:eastAsia="楷体" w:cs="楷体"/>
          <w:b/>
          <w:color w:val="581F7D"/>
          <w:sz w:val="28"/>
          <w:szCs w:val="28"/>
        </w:rPr>
      </w:pPr>
    </w:p>
    <w:p>
      <w:pPr>
        <w:widowControl/>
        <w:spacing w:line="320" w:lineRule="exact"/>
        <w:ind w:right="-178" w:rightChars="-85"/>
        <w:jc w:val="left"/>
        <w:rPr>
          <w:rFonts w:ascii="宋体" w:hAnsi="宋体" w:cs="宋体"/>
          <w:color w:val="00B0F0"/>
          <w:kern w:val="0"/>
          <w:szCs w:val="21"/>
        </w:rPr>
      </w:pPr>
      <w:r>
        <w:rPr>
          <w:rFonts w:hint="eastAsia" w:ascii="宋体" w:hAnsi="宋体" w:cs="宋体"/>
          <w:color w:val="00B0F0"/>
          <w:kern w:val="0"/>
          <w:szCs w:val="21"/>
        </w:rPr>
        <w:t xml:space="preserve">  注：此表所填信息仅用于报名申请，对外保密，请您详细填写。(复印有效)</w:t>
      </w:r>
    </w:p>
    <w:p>
      <w:pPr>
        <w:rPr>
          <w:b/>
          <w:bCs/>
          <w:color w:val="000000"/>
        </w:rPr>
      </w:pPr>
    </w:p>
    <w:p>
      <w:pPr>
        <w:rPr>
          <w:b/>
          <w:bCs/>
          <w:color w:val="000000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,Verdana,Arial">
    <w:altName w:val="宋体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D80"/>
    <w:multiLevelType w:val="multilevel"/>
    <w:tmpl w:val="09A07D8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0F"/>
    <w:rsid w:val="0000597C"/>
    <w:rsid w:val="00056422"/>
    <w:rsid w:val="00147416"/>
    <w:rsid w:val="002730C3"/>
    <w:rsid w:val="00293A2B"/>
    <w:rsid w:val="002B539F"/>
    <w:rsid w:val="002C0228"/>
    <w:rsid w:val="003F41E5"/>
    <w:rsid w:val="003F7083"/>
    <w:rsid w:val="00513FEA"/>
    <w:rsid w:val="00637666"/>
    <w:rsid w:val="007924CA"/>
    <w:rsid w:val="00807C42"/>
    <w:rsid w:val="008108D3"/>
    <w:rsid w:val="008200C0"/>
    <w:rsid w:val="00865023"/>
    <w:rsid w:val="008700AB"/>
    <w:rsid w:val="009D46F7"/>
    <w:rsid w:val="00AF50E1"/>
    <w:rsid w:val="00B97368"/>
    <w:rsid w:val="00BF1EC9"/>
    <w:rsid w:val="00C1224E"/>
    <w:rsid w:val="00C260DF"/>
    <w:rsid w:val="00C95A04"/>
    <w:rsid w:val="00D22A48"/>
    <w:rsid w:val="00D722E5"/>
    <w:rsid w:val="00DA63C0"/>
    <w:rsid w:val="00DE26FB"/>
    <w:rsid w:val="00E33D0F"/>
    <w:rsid w:val="00EB0486"/>
    <w:rsid w:val="00ED7C3A"/>
    <w:rsid w:val="054B07DC"/>
    <w:rsid w:val="0C986328"/>
    <w:rsid w:val="126C1614"/>
    <w:rsid w:val="13590DE2"/>
    <w:rsid w:val="15405E09"/>
    <w:rsid w:val="1AD32E79"/>
    <w:rsid w:val="1CDA0020"/>
    <w:rsid w:val="246B42FB"/>
    <w:rsid w:val="26F24A2F"/>
    <w:rsid w:val="34803E6C"/>
    <w:rsid w:val="37CE584F"/>
    <w:rsid w:val="3D4D3955"/>
    <w:rsid w:val="3D91603F"/>
    <w:rsid w:val="41F55493"/>
    <w:rsid w:val="431F2E8F"/>
    <w:rsid w:val="439F3004"/>
    <w:rsid w:val="463D597F"/>
    <w:rsid w:val="484D54FD"/>
    <w:rsid w:val="4CAD6777"/>
    <w:rsid w:val="51A21C8B"/>
    <w:rsid w:val="52E962FF"/>
    <w:rsid w:val="53BC76F5"/>
    <w:rsid w:val="590043DA"/>
    <w:rsid w:val="59DF1843"/>
    <w:rsid w:val="616329EA"/>
    <w:rsid w:val="63AF1633"/>
    <w:rsid w:val="64197419"/>
    <w:rsid w:val="67266848"/>
    <w:rsid w:val="6CDB1898"/>
    <w:rsid w:val="6D7B54C7"/>
    <w:rsid w:val="6E34076F"/>
    <w:rsid w:val="711538BA"/>
    <w:rsid w:val="72CE307C"/>
    <w:rsid w:val="73FE442B"/>
    <w:rsid w:val="75417986"/>
    <w:rsid w:val="77B8442E"/>
    <w:rsid w:val="79F93FAE"/>
    <w:rsid w:val="7D9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lin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A6200F-1CC5-41B4-9D85-7194D4E9C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273</Words>
  <Characters>1562</Characters>
  <Lines>13</Lines>
  <Paragraphs>3</Paragraphs>
  <ScaleCrop>false</ScaleCrop>
  <LinksUpToDate>false</LinksUpToDate>
  <CharactersWithSpaces>1832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2017-03-27T09:10:00Z</dcterms:created>
  <dc:creator>Administrator</dc:creator>
  <cp:lastModifiedBy>Administrator</cp:lastModifiedBy>
  <dcterms:modified xsi:type="dcterms:W3CDTF">2017-05-24T06:33:45Z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